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FA" w:rsidRPr="009F6A10" w:rsidRDefault="008A70FA" w:rsidP="008A70F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307B71" wp14:editId="46FC4D08">
            <wp:extent cx="491490" cy="681355"/>
            <wp:effectExtent l="0" t="0" r="381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FA" w:rsidRPr="009F6A10" w:rsidRDefault="008A70FA" w:rsidP="008A70F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ПАРАБЕЛЬСКОГО РАЙОНА</w:t>
      </w:r>
    </w:p>
    <w:p w:rsidR="008A70FA" w:rsidRPr="009F6A10" w:rsidRDefault="008A70FA" w:rsidP="008A70F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70FA" w:rsidRPr="009F6A10" w:rsidRDefault="008A70FA" w:rsidP="008A70F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A70FA" w:rsidRPr="009F6A10" w:rsidRDefault="008A70FA" w:rsidP="008A70FA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>2017 г.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№  </w:t>
      </w:r>
    </w:p>
    <w:p w:rsidR="008A70FA" w:rsidRPr="009F6A10" w:rsidRDefault="008A70FA" w:rsidP="00E94CB1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FA" w:rsidRPr="009F6A10" w:rsidRDefault="008A70FA" w:rsidP="003A179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="0042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Парабельского района от </w:t>
      </w:r>
      <w:r w:rsidR="003A1799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18.07.2017 №</w:t>
      </w:r>
      <w:r w:rsidR="0030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799">
        <w:rPr>
          <w:rFonts w:ascii="Times New Roman" w:eastAsia="Times New Roman" w:hAnsi="Times New Roman" w:cs="Times New Roman"/>
          <w:sz w:val="24"/>
          <w:szCs w:val="24"/>
          <w:lang w:eastAsia="ru-RU"/>
        </w:rPr>
        <w:t>523а</w:t>
      </w:r>
    </w:p>
    <w:p w:rsidR="008A70FA" w:rsidRPr="009F6A10" w:rsidRDefault="008A70FA" w:rsidP="00E94CB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FA" w:rsidRPr="008A70FA" w:rsidRDefault="00027095" w:rsidP="00E94CB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изменениями в постановлении Администрации Томской 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 и в</w:t>
      </w:r>
      <w:r w:rsidR="008A70FA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муниципального правового акта в соответствие с Постановлением</w:t>
      </w:r>
      <w:r w:rsidR="008A70FA" w:rsidRPr="008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6 сентября 2016г. №887 «Об общих требованиях к нормативным правовым актам, муниципальным правовым актам, регулирующим предоставление субсидий юридическим</w:t>
      </w:r>
      <w:proofErr w:type="gramEnd"/>
      <w:r w:rsidR="008A70FA" w:rsidRPr="008A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70FA" w:rsidRPr="008A70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(за исключением  субсидий государственным (муниципальным) учреждениям), индивидуальным предпринимателям, а также физическим лицам – произв</w:t>
      </w:r>
      <w:r w:rsidR="008A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товаров, работ, услуг»,</w:t>
      </w:r>
      <w:proofErr w:type="gramEnd"/>
    </w:p>
    <w:p w:rsidR="008A70FA" w:rsidRPr="009F6A10" w:rsidRDefault="008A70FA" w:rsidP="00E9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FA" w:rsidRPr="009F6A10" w:rsidRDefault="008A70FA" w:rsidP="00E94CB1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FA" w:rsidRPr="009F6A10" w:rsidRDefault="008A70FA" w:rsidP="00E94CB1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0FA" w:rsidRPr="009F6A10" w:rsidRDefault="008A70FA" w:rsidP="00E94CB1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F6A1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8A70FA" w:rsidRDefault="008A70FA" w:rsidP="00E94CB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Парабельского района от</w:t>
      </w:r>
      <w:r w:rsidR="0090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</w:t>
      </w:r>
      <w:r w:rsidR="003A1799">
        <w:rPr>
          <w:rFonts w:ascii="Times New Roman" w:eastAsia="Times New Roman" w:hAnsi="Times New Roman" w:cs="Times New Roman"/>
          <w:sz w:val="24"/>
          <w:szCs w:val="24"/>
          <w:lang w:eastAsia="ru-RU"/>
        </w:rPr>
        <w:t>7.2017 №</w:t>
      </w:r>
      <w:r w:rsidR="0030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799">
        <w:rPr>
          <w:rFonts w:ascii="Times New Roman" w:eastAsia="Times New Roman" w:hAnsi="Times New Roman" w:cs="Times New Roman"/>
          <w:sz w:val="24"/>
          <w:szCs w:val="24"/>
          <w:lang w:eastAsia="ru-RU"/>
        </w:rPr>
        <w:t>523а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о предоставлении субсидий сельскохозяйственным товаропроизводителям  из бюджета Парабельского района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году» (далее - Постановление) внести следующие изменения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72CEC" w:rsidRDefault="009F7194" w:rsidP="00E94CB1">
      <w:pPr>
        <w:tabs>
          <w:tab w:val="num" w:pos="3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 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приложении 1 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настоящего Постановления 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субсидии на возмещение процентной ставки по долгосрочным, среднесрочным и краткосрочным кредитам, взяты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>м малыми формами хозяйствования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="00E72CEC" w:rsidRPr="00066035">
        <w:rPr>
          <w:rFonts w:ascii="Times New Roman" w:eastAsia="Times New Roman" w:hAnsi="Times New Roman" w:cs="Times New Roman"/>
          <w:sz w:val="24"/>
          <w:szCs w:val="20"/>
          <w:lang w:eastAsia="ru-RU"/>
        </w:rPr>
        <w:t>ун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>кт 16 изложить в новой редакции:</w:t>
      </w:r>
    </w:p>
    <w:p w:rsidR="00900BF8" w:rsidRDefault="001C3795" w:rsidP="00E94CB1">
      <w:pPr>
        <w:tabs>
          <w:tab w:val="num" w:pos="34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90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16. Требования об осуществлении </w:t>
      </w:r>
      <w:proofErr w:type="gramStart"/>
      <w:r w:rsidR="00900BF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контроля за</w:t>
      </w:r>
      <w:proofErr w:type="gramEnd"/>
      <w:r w:rsidR="0090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соблюдением условий, целей и порядка предоставления субсидий и ответственности за их нарушение:</w:t>
      </w:r>
    </w:p>
    <w:p w:rsidR="00E72CEC" w:rsidRDefault="00E72CEC" w:rsidP="00E9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16.1.</w:t>
      </w:r>
      <w:r w:rsidRPr="0006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отдел А</w:t>
      </w:r>
      <w:r w:rsidRPr="00066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CEC" w:rsidRPr="00E94CB1" w:rsidRDefault="00E72CEC" w:rsidP="00E9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нарушения условий предоставления субсидии. В течение 10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29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</w:t>
      </w:r>
      <w:r w:rsidR="001C3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законодательством».</w:t>
      </w:r>
    </w:p>
    <w:p w:rsidR="00E72CEC" w:rsidRDefault="009F7194" w:rsidP="00E94C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1.2.</w:t>
      </w:r>
      <w:r w:rsidR="008A70F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приложении 2 настоящего 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финансировании искусственного осеменения коров в личных</w:t>
      </w:r>
      <w:r w:rsidR="007351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подсобных хозяйствах </w:t>
      </w:r>
      <w:r w:rsidR="00D637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51A9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51A9">
        <w:rPr>
          <w:rFonts w:ascii="Times New Roman" w:eastAsia="Times New Roman" w:hAnsi="Times New Roman" w:cs="Times New Roman"/>
          <w:sz w:val="24"/>
          <w:szCs w:val="20"/>
          <w:lang w:eastAsia="ru-RU"/>
        </w:rPr>
        <w:t>3 изложить в новой редакции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72CEC" w:rsidRDefault="001C3795" w:rsidP="00E9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7351A9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E72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E72C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отдел А</w:t>
      </w:r>
      <w:r w:rsidR="00E72CEC" w:rsidRPr="00066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</w:t>
      </w:r>
      <w:r w:rsidR="007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муниципального контракта  осуществляет </w:t>
      </w:r>
      <w:r w:rsidR="00735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обязательный </w:t>
      </w:r>
      <w:proofErr w:type="gramStart"/>
      <w:r w:rsidR="00735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исполнением муниципального контракта,</w:t>
      </w:r>
      <w:r w:rsidR="00E72CEC" w:rsidRPr="0006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соблюдения условий, целей</w:t>
      </w:r>
      <w:r w:rsidR="007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перечисления субвенций»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CEC" w:rsidRDefault="00E72CEC" w:rsidP="00E94C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Дополнить Постановление приложением 4 </w:t>
      </w:r>
      <w:r w:rsidR="004217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«Положение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предоставлении субсидий на раз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витие малых форм хозяйствования</w:t>
      </w:r>
      <w:r w:rsidR="004217E0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B621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согласно приложению 1 к настоящему постановлению</w:t>
      </w:r>
      <w:r w:rsidR="003A179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A70FA" w:rsidRPr="0029046F" w:rsidRDefault="008A70FA" w:rsidP="00E94CB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постановление 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в районной газете «Нарымский вестник» и разместить в информационно-телекоммуникационной сети «Интернет» на официальном сайте Администрации Парабельского района </w:t>
      </w:r>
      <w:hyperlink r:id="rId7" w:history="1"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parabel</w:t>
        </w:r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8440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290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A70FA" w:rsidRPr="009F6A10" w:rsidRDefault="008A70FA" w:rsidP="00E94CB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D63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П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 заместителя Главы района </w:t>
      </w:r>
      <w:r w:rsidR="0042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F6A1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Е.А. Рязанову</w:t>
      </w:r>
    </w:p>
    <w:p w:rsidR="008A70FA" w:rsidRPr="009F6A10" w:rsidRDefault="008A70FA" w:rsidP="00E94C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8A70FA" w:rsidRPr="009F6A10" w:rsidRDefault="008A70FA" w:rsidP="00E94CB1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70FA" w:rsidRPr="009F6A10" w:rsidRDefault="008A70FA" w:rsidP="00E94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70FA" w:rsidRPr="009F6A10" w:rsidRDefault="008A70FA" w:rsidP="00E94CB1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Default="000571DD" w:rsidP="00E94CB1">
      <w:pPr>
        <w:jc w:val="both"/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306A21" w:rsidRDefault="00306A21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Ерш 2-13-57</w:t>
      </w: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6A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ылка: </w:t>
      </w: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– 2 </w:t>
      </w: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Рязанова Е.А.-1</w:t>
      </w: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Экономический отдел-1</w:t>
      </w:r>
    </w:p>
    <w:p w:rsidR="000571DD" w:rsidRDefault="001C3795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4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кция-1</w:t>
      </w:r>
    </w:p>
    <w:p w:rsidR="004217E0" w:rsidRDefault="004217E0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7E0" w:rsidRDefault="004217E0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17E0" w:rsidRDefault="004217E0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1A7" w:rsidRDefault="00B621A7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1A7" w:rsidRDefault="00B621A7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1A7" w:rsidRDefault="00B621A7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1A7" w:rsidRDefault="00B621A7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6A21" w:rsidRPr="00306A21" w:rsidRDefault="00306A21" w:rsidP="0030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1A7" w:rsidRDefault="00B621A7" w:rsidP="0005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1</w:t>
      </w:r>
    </w:p>
    <w:p w:rsidR="00B621A7" w:rsidRDefault="00B621A7" w:rsidP="0005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постановления Администрации Парабельского района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№</w:t>
      </w:r>
    </w:p>
    <w:p w:rsidR="000571DD" w:rsidRPr="000571DD" w:rsidRDefault="000571DD" w:rsidP="0005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4</w:t>
      </w:r>
    </w:p>
    <w:p w:rsidR="000571DD" w:rsidRPr="000571DD" w:rsidRDefault="001C3795" w:rsidP="000571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постановлению А</w:t>
      </w:r>
      <w:r w:rsidR="000571DD"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дминистрации Парабельского района от </w:t>
      </w:r>
      <w:r w:rsidR="00B621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18.07.2017 г. </w:t>
      </w:r>
      <w:r w:rsidR="000571DD"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="00B621A7">
        <w:rPr>
          <w:rFonts w:ascii="Times New Roman" w:eastAsia="Times New Roman" w:hAnsi="Times New Roman" w:cs="Times New Roman"/>
          <w:sz w:val="23"/>
          <w:szCs w:val="23"/>
          <w:lang w:eastAsia="ru-RU"/>
        </w:rPr>
        <w:t>523а</w:t>
      </w:r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571DD" w:rsidRPr="000571DD" w:rsidRDefault="000571DD" w:rsidP="000571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субсидий 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1C379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осуществляется Администрацией Парабельского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муниципальными правовыми актами, а также условиями и порядком предоставления и порядок возврата субсидий в случае нарушения условий, установленных при предоставлении субсидий, предусмотренными настоящим Положением о порядке расходования субвенций на реализацию мер государственной поддержки по развитию малых форм хозяйствования посредством  предоставлении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 на развитие личных подсобных хозяйств и субсидий на развитие крестьянских (фермерских) хозяйств (далее – Положение).</w:t>
      </w:r>
    </w:p>
    <w:p w:rsidR="000571DD" w:rsidRPr="00AC2A6E" w:rsidRDefault="000571DD" w:rsidP="000571D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предоставлении субсидий на развитие малых форм хозяйствовани</w:t>
      </w:r>
      <w:r w:rsidR="00AC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C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категории и критерии отбора индивидуальных предпринимателей, физических лиц - производителей товаров, работ и услуг, имеющих право на получение субсидий по развитию малых форм хозяйствования, условия, порядок предоставления.</w:t>
      </w:r>
    </w:p>
    <w:p w:rsidR="000571DD" w:rsidRPr="000571DD" w:rsidRDefault="000571DD" w:rsidP="001C3795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 развитие малых форм хозяйствования (далее – субсидии) предоставляются следующим категориям сельскохозяйственных производителей:</w:t>
      </w:r>
    </w:p>
    <w:p w:rsidR="000571DD" w:rsidRPr="000571DD" w:rsidRDefault="000571DD" w:rsidP="000571D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граждане, ведущие личное подсобное хозяйство (далее - ЛПХ);</w:t>
      </w:r>
    </w:p>
    <w:p w:rsidR="000571DD" w:rsidRPr="000571DD" w:rsidRDefault="000571DD" w:rsidP="000571D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крестьянские (фермерские) хозяйства (далее – КФХ).</w:t>
      </w:r>
    </w:p>
    <w:p w:rsidR="000571DD" w:rsidRPr="000571DD" w:rsidRDefault="000571DD" w:rsidP="001C379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сельскохозяйственными товаропроизводителями, имеющими право на получение государственной поддержки (далее - получатели субсидии), при соблюдении ими следующих общих условий:</w:t>
      </w:r>
    </w:p>
    <w:p w:rsidR="000571DD" w:rsidRPr="000571DD" w:rsidRDefault="000571DD" w:rsidP="001C37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хозяйственной деятельности на территории муниципального образования «Парабельский район» (для всех получателей субсидий);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 получателя субсидии должна отсутствовать просроченная задолженность перед областным бюджетом;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571DD" w:rsidRPr="000571DD" w:rsidRDefault="000571DD" w:rsidP="001C37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постановка на учет в налоговом органе на территории Томской области (для КФХ);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предоставление отчетности о финансово-экономическом состоянии в порядке и сроки, утвержденные Департаментом по социально-экономическому развитию села Томской области, по формам, утверждаемым Министерством сельского хозяйства Российской Федерации (для КФХ);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наличие соглашения о предоставлении субсидии в текущем финансовом году между Администрацией Парабельского района и получателем субсидии (далее - Соглашение) (для всех получателей субсидий);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согласие получателей субсидий на осуществление Администрацией Парабельского района и органами государственного финансового контроля проверок соблюдения получателями субсидий условий, целей и порядка их предоставления (для всех получателей субсидий).</w:t>
      </w:r>
    </w:p>
    <w:p w:rsidR="000571DD" w:rsidRPr="000571DD" w:rsidRDefault="000571DD" w:rsidP="001C3795">
      <w:pPr>
        <w:numPr>
          <w:ilvl w:val="1"/>
          <w:numId w:val="9"/>
        </w:numPr>
        <w:tabs>
          <w:tab w:val="clear" w:pos="1440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соглашение обязательно включаются следующие условия: ожидаемые результаты предоставления субсидий, качественные и (или) количественные характеристики достижения целевых показателей за счет предоставления субсидий, перечень затрат, на финансовое обеспечение которых предоставляются субсидии. 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Соглашение, заключаемое между Администрацией Парабельского района (далее – Администрация) и получателем субсидии, предусматривает согласие получателя субсидии на проведение Администрацией, органами финансового контроля обязательной проверки соблюдения получателями субсидий условий, целей и порядка предоставления субсидий, обязательство получателя субсидии уведомлять Администрацию о полном или частичном расторжении договоров, финансовое обеспечение которых, осуществляется за счет средств субсидий.</w:t>
      </w:r>
      <w:proofErr w:type="gramEnd"/>
    </w:p>
    <w:p w:rsidR="000571DD" w:rsidRPr="000571DD" w:rsidRDefault="000571DD" w:rsidP="000571D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0571DD" w:rsidRPr="000571DD" w:rsidRDefault="000571DD" w:rsidP="000571DD">
      <w:pPr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Субсидии на развитие ЛПХ предоставляются по следующим направлениям:</w:t>
      </w:r>
      <w:bookmarkStart w:id="0" w:name="P12"/>
      <w:bookmarkEnd w:id="0"/>
    </w:p>
    <w:p w:rsidR="000571DD" w:rsidRPr="000571DD" w:rsidRDefault="000571DD" w:rsidP="001C3795">
      <w:pPr>
        <w:numPr>
          <w:ilvl w:val="1"/>
          <w:numId w:val="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содержание коров при их наличии не менее 3 голов коров по состоянию на 1-е число месяца, в котором подается заявление о предоставлении субсидии, по ставке 5 000 рублей за голову, но не более 50 000 рублей на одного получателя в год, при условии прохождения скотом первичной процедуры идентификации животных методом </w:t>
      </w:r>
      <w:proofErr w:type="spell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чипирования</w:t>
      </w:r>
      <w:proofErr w:type="spell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биркования</w:t>
      </w:r>
      <w:proofErr w:type="spell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0571DD" w:rsidRPr="000571DD" w:rsidRDefault="000571DD" w:rsidP="001C3795">
      <w:pPr>
        <w:numPr>
          <w:ilvl w:val="1"/>
          <w:numId w:val="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13"/>
      <w:bookmarkEnd w:id="1"/>
      <w:proofErr w:type="gram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по ставкам согласно приложению 1 к настоящему Положению, но не более 150 тысяч рублей в год на одно ЛПХ, при условии наличия не менее 3 голов коров или не менее 10 условных голов скота по состоянию на 1-е число</w:t>
      </w:r>
      <w:proofErr w:type="gram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0571DD" w:rsidRPr="000571DD" w:rsidRDefault="000571DD" w:rsidP="000571D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16"/>
      <w:bookmarkEnd w:id="2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предоставляются по расходам произведенным с 1 августа предшествующего года по 31 июля текущего года. Данные субсидии не предоставляются по договорам на приобретение техники и (или) оборудования, материалов бывшего в употреблении.</w:t>
      </w:r>
    </w:p>
    <w:p w:rsidR="000571DD" w:rsidRPr="000571DD" w:rsidRDefault="000571DD" w:rsidP="000571D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Для получения субсидий на развитие ЛПХ получатели субсидий представляют главному специалисту по развитию реального сектора экономики Администрации Парабельского района (далее – Специалист) не позднее 15 августа текущего года документы, являющиеся основанием для предоставления субсидии:</w:t>
      </w:r>
    </w:p>
    <w:p w:rsidR="000571DD" w:rsidRPr="000571DD" w:rsidRDefault="000571DD" w:rsidP="000571DD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субсидии (далее - заявление) по форме согласно приложению 3 к настоящему Положению;</w:t>
      </w:r>
    </w:p>
    <w:p w:rsidR="000571DD" w:rsidRPr="000571DD" w:rsidRDefault="000571DD" w:rsidP="000571DD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справку-расчет причитающихся субсидий на развитие малых форм хозяйствования  - на содержание коров по форме согласно приложению 4.1 к настоящему Положению; на возмещение части затрат на обеспечение технической и технологической модернизации (в том числе затрат по </w:t>
      </w: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договору кредита (займа) (без учета процентов) по форме согласно Приложению 5 к настоящему Положению;</w:t>
      </w:r>
    </w:p>
    <w:p w:rsidR="000571DD" w:rsidRPr="000571DD" w:rsidRDefault="000571DD" w:rsidP="000571DD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выписку из похозяйственной книги ведения ЛПХ, выданную на 1-е число месяца, в котором подается заявление о предоставлении субсидии;</w:t>
      </w:r>
    </w:p>
    <w:p w:rsidR="000571DD" w:rsidRPr="000571DD" w:rsidRDefault="000571DD" w:rsidP="000571DD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субсидии на содержание коров – реестр крупного рогатого скота, прошедшего процедуру первичной идентификации животных методом </w:t>
      </w:r>
      <w:proofErr w:type="spell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чипирования</w:t>
      </w:r>
      <w:proofErr w:type="spell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биркования</w:t>
      </w:r>
      <w:proofErr w:type="spell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, по форме согласно приложению 6.1 к настоящему Положению;</w:t>
      </w:r>
    </w:p>
    <w:p w:rsidR="000571DD" w:rsidRPr="000571DD" w:rsidRDefault="000571DD" w:rsidP="000571DD">
      <w:pPr>
        <w:numPr>
          <w:ilvl w:val="1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по субсидии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процентов)) - заверенные получателем субсидии копии: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документов, подтверждающих приобретение новой техники (или) оборудования и (или) материалов и (договоров, актов приема-передачи и накладных);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договоров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материалов.</w:t>
      </w:r>
    </w:p>
    <w:p w:rsidR="000571DD" w:rsidRPr="000571DD" w:rsidRDefault="000571DD" w:rsidP="000571D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21"/>
      <w:bookmarkEnd w:id="3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развитие КФХ предоставляются по следующим направлениям:</w:t>
      </w:r>
    </w:p>
    <w:p w:rsidR="000571DD" w:rsidRPr="000571DD" w:rsidRDefault="000571DD" w:rsidP="000571D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содержание коров молочного направления при наличии в КФХ поголовья коров не менее 5 голов на 1 января текущего года по ставке 5 000 рублей за голову, при условии прохождения скотом процедуры идентификации животных методом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чипирования</w:t>
      </w:r>
      <w:proofErr w:type="spell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биркования</w:t>
      </w:r>
      <w:proofErr w:type="spell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1DD" w:rsidRPr="000571DD" w:rsidRDefault="000571DD" w:rsidP="000571DD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47"/>
      <w:bookmarkEnd w:id="4"/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 на обеспечение технической и технологической модернизации по видам расходов и ставкам согласно приложению 1 к настоящему Положению, не более 400 тысяч рублей в год на одно КФХ, при условии наличия не менее 10 условных голов скота или 50 га посевных площадей, но не более 250 тысяч рублей за единицу техники, оборудования, оказанной услуги.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Коэффициенты перевода поголовья сельскохозяйственных животных в условные головы применяются в соответствии с приложением 2 к настоящему Положению.</w:t>
      </w:r>
    </w:p>
    <w:p w:rsidR="000571DD" w:rsidRPr="000571DD" w:rsidRDefault="000571DD" w:rsidP="000571DD">
      <w:pPr>
        <w:numPr>
          <w:ilvl w:val="1"/>
          <w:numId w:val="10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субсидиям на содержание коров молочного направления -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0571DD" w:rsidRPr="000571DD" w:rsidRDefault="000571DD" w:rsidP="000571DD">
      <w:pPr>
        <w:numPr>
          <w:ilvl w:val="1"/>
          <w:numId w:val="10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не предоставляются по договорам на приобретение техники и оборудования, бывших в употреблении.</w:t>
      </w:r>
    </w:p>
    <w:p w:rsidR="000571DD" w:rsidRPr="000571DD" w:rsidRDefault="000571DD" w:rsidP="000571DD">
      <w:pPr>
        <w:numPr>
          <w:ilvl w:val="1"/>
          <w:numId w:val="10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58"/>
      <w:bookmarkEnd w:id="5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субсидий на развитие КФХ получатели субсидий представляют Специалисту не позднее 15 августа текущего года документы, являющиеся основанием для предоставления субсидии:</w:t>
      </w:r>
    </w:p>
    <w:p w:rsidR="000571DD" w:rsidRPr="000571DD" w:rsidRDefault="000571DD" w:rsidP="000571DD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субсидии по форме согласно приложению 3 к настоящему Положению;</w:t>
      </w:r>
    </w:p>
    <w:p w:rsidR="000571DD" w:rsidRPr="000571DD" w:rsidRDefault="000571DD" w:rsidP="000571DD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справку-расчет причитающихся субсидий на развитие малых форм хозяйствования  - на содержание коров молочного направления по форме согласно приложе</w:t>
      </w:r>
      <w:r w:rsidR="001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4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Положению; для субсидий на возмещение части затрат на обеспечение технической и технологической модернизации (в том числе затрат по договору кредита (займа) (без учета процентов) - по форме согласно Приложению 5 к настоящему Положению;</w:t>
      </w:r>
      <w:proofErr w:type="gramEnd"/>
    </w:p>
    <w:p w:rsidR="000571DD" w:rsidRPr="000571DD" w:rsidRDefault="000571DD" w:rsidP="000571DD">
      <w:pPr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субсидии на содержание коров молочного направления: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(при наличии);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реестр крупного рогатого скота, прошедшего процедуру первичной идентификации животных методом </w:t>
      </w:r>
      <w:proofErr w:type="spell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чипирования</w:t>
      </w:r>
      <w:proofErr w:type="spell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биркования</w:t>
      </w:r>
      <w:proofErr w:type="spellEnd"/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621A7">
        <w:rPr>
          <w:rFonts w:ascii="Times New Roman" w:eastAsia="Calibri" w:hAnsi="Times New Roman" w:cs="Times New Roman"/>
          <w:sz w:val="24"/>
          <w:szCs w:val="24"/>
          <w:lang w:eastAsia="ru-RU"/>
        </w:rPr>
        <w:t>по форме согласно приложению 6</w:t>
      </w: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Положению;</w:t>
      </w:r>
    </w:p>
    <w:p w:rsidR="000571DD" w:rsidRPr="000571DD" w:rsidRDefault="000571DD" w:rsidP="000571DD">
      <w:pPr>
        <w:numPr>
          <w:ilvl w:val="2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 субсидии на возмещение части затрат на обеспечение технической и технологической модернизации - заверенные получателем субсидии копии: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договоров на приобретение техники, машин, оборудования и материалов и документов, подтверждающих их приобретение (актов приема-передачи и товарных накладных);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паспортов транспортных средств, самоходных машин и других видов техники с отметкой о постановке в установленном порядке на учет;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за исключением участников мероприятия по поддержке начинающих фермеров, зарегистрированных и получивших грант в текущем году;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- платежных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выполнении работ (оказание услуг).</w:t>
      </w:r>
    </w:p>
    <w:p w:rsidR="000571DD" w:rsidRPr="000571DD" w:rsidRDefault="000571DD" w:rsidP="000571DD">
      <w:pPr>
        <w:numPr>
          <w:ilvl w:val="1"/>
          <w:numId w:val="10"/>
        </w:numPr>
        <w:shd w:val="clear" w:color="auto" w:fill="FFFFFF"/>
        <w:tabs>
          <w:tab w:val="clear" w:pos="198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Субсидии на возмещение части затрат на обеспечение технической и технологической модернизации предоставляются по расходам, произведенным с 1 августа предшествующего года по 31 июля текущего года.</w:t>
      </w:r>
    </w:p>
    <w:p w:rsidR="000571DD" w:rsidRPr="000571DD" w:rsidRDefault="000571DD" w:rsidP="000571DD">
      <w:pPr>
        <w:numPr>
          <w:ilvl w:val="0"/>
          <w:numId w:val="12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порядок и сроки рассмотрения документов:</w:t>
      </w:r>
    </w:p>
    <w:p w:rsidR="000571DD" w:rsidRPr="000571DD" w:rsidRDefault="000571DD" w:rsidP="000571D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принимает и регистрирует заявление о предоставлении субсидии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Парабельского района.</w:t>
      </w:r>
    </w:p>
    <w:p w:rsidR="000571DD" w:rsidRPr="000571DD" w:rsidRDefault="000571DD" w:rsidP="000571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(для субсидий, предоставляемых за счет средств областного бюджета) 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являющихся основанием для предоставления субсидии, Специалист направляет получателю субсидии письменное уведомление заявителя о принятии заявления к рассмотрению или об отказе в его принятии с указанием причины отказа.</w:t>
      </w:r>
    </w:p>
    <w:p w:rsidR="000571DD" w:rsidRPr="000571DD" w:rsidRDefault="000571DD" w:rsidP="000571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основанием для предоставления субсидии, должны рассматриваться Специалистом в течение 10 рабочих дней со дня направления письменного уведомления заявителя о принятии заявления к рассмотрению.</w:t>
      </w:r>
    </w:p>
    <w:p w:rsidR="000571DD" w:rsidRPr="000571DD" w:rsidRDefault="000571DD" w:rsidP="000571D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проводит обязательную проверку соблюдения получателями субсидий условий, целей и порядка предоставления субсидий.</w:t>
      </w:r>
    </w:p>
    <w:p w:rsidR="000571DD" w:rsidRPr="000571DD" w:rsidRDefault="000571DD" w:rsidP="000571D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предоставлении субсидии Специалист в течение 10 рабочих дней со дня принятия указанного решения осуществляет перечисление субсидии. Специалист составляет сводный реестр получателей субсидии по форме, согласно приложению 7 к настоящему Положению, согласно журналу регистрации. На основании сводного реестра Администрация Парабельского района перечисляет субсидии на счета получателей субсидии, указанные в соглашении о предоставлении субсидии.</w:t>
      </w:r>
    </w:p>
    <w:p w:rsidR="000571DD" w:rsidRPr="000571DD" w:rsidRDefault="000571DD" w:rsidP="000571D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составляет сводный реестр получателей субсидий по форме, согласно приложению 7 к настоящему </w:t>
      </w:r>
      <w:r w:rsidR="00B621A7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Положению, перечисляет субсидии на расчетные счета получателей субсидий, открытые в кредитной организации, в порядке  поступления заявлений о предоставлении субсидии согласно журналу регистрации.</w:t>
      </w:r>
    </w:p>
    <w:p w:rsidR="000571DD" w:rsidRPr="000571DD" w:rsidRDefault="000571DD" w:rsidP="000571D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 предоставлении субсидии Специалистом делается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заявителя о принятии заявления к рассмотрению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Специалист  рассматривает представленные получателем субсидии документы, являющиеся основанием для предоставления субсидии.</w:t>
      </w:r>
    </w:p>
    <w:p w:rsidR="000571DD" w:rsidRPr="000571DD" w:rsidRDefault="000571DD" w:rsidP="000571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получателем субсидии ранее представлялись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которых изменились данные.</w:t>
      </w:r>
    </w:p>
    <w:p w:rsidR="000571DD" w:rsidRPr="000571DD" w:rsidRDefault="000571DD" w:rsidP="000571DD">
      <w:pPr>
        <w:numPr>
          <w:ilvl w:val="0"/>
          <w:numId w:val="12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принятии заявления является:</w:t>
      </w:r>
    </w:p>
    <w:p w:rsidR="000571DD" w:rsidRPr="000571DD" w:rsidRDefault="000571DD" w:rsidP="000571DD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получателем субсидий условий, предусмотренных подпунктами 6), 7) пункта 3 настоящего Положения (для КФХ);</w:t>
      </w:r>
    </w:p>
    <w:p w:rsidR="000571DD" w:rsidRPr="000571DD" w:rsidRDefault="000571DD" w:rsidP="000571DD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получателем субсидий не всех документов, являющихся основанием для предоставления субсидии;</w:t>
      </w:r>
    </w:p>
    <w:p w:rsidR="000571DD" w:rsidRPr="000571DD" w:rsidRDefault="000571DD" w:rsidP="000571DD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представления документов, являющихся основанием для предоставления субсидии.</w:t>
      </w:r>
    </w:p>
    <w:p w:rsidR="000571DD" w:rsidRPr="000571DD" w:rsidRDefault="000571DD" w:rsidP="000571DD">
      <w:pPr>
        <w:numPr>
          <w:ilvl w:val="0"/>
          <w:numId w:val="12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субсидий является:</w:t>
      </w:r>
    </w:p>
    <w:p w:rsidR="000571DD" w:rsidRPr="000571DD" w:rsidRDefault="000571DD" w:rsidP="000571D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получателем субсидий целей, условий и порядка предоставления мер государственной поддержки, установленных настоящим Положением;</w:t>
      </w:r>
    </w:p>
    <w:p w:rsidR="000571DD" w:rsidRPr="000571DD" w:rsidRDefault="000571DD" w:rsidP="000571D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получателем субсидии недостоверных документов, установленных настоящим Положением, и (или) недостоверных, и (или) неполных сведений в таких документах;</w:t>
      </w:r>
    </w:p>
    <w:p w:rsidR="000571DD" w:rsidRPr="000571DD" w:rsidRDefault="000571DD" w:rsidP="000571D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получателем субсидии требования о возврате бюджетных средств в установленные сроки в порядке, предусмотренном настоящим Положением.</w:t>
      </w:r>
    </w:p>
    <w:p w:rsidR="001C3795" w:rsidRDefault="001C3795" w:rsidP="000571DD">
      <w:pPr>
        <w:numPr>
          <w:ilvl w:val="0"/>
          <w:numId w:val="12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7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Требования об осуществлении </w:t>
      </w:r>
      <w:proofErr w:type="gramStart"/>
      <w:r w:rsidRPr="001C379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контроля за</w:t>
      </w:r>
      <w:proofErr w:type="gramEnd"/>
      <w:r w:rsidRPr="001C37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соблюдением условий, целей и порядка предоставления субсидий и ответственн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ости за их нарушение:</w:t>
      </w:r>
      <w:r w:rsidRPr="001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кономический отдел Администрации Парабельского района и орган муниципального финансового контроля (контрольно-счетный орган ревизионная комиссия муниципального образования «Парабельский район») осуществляет обязательную проверку соблюдения условий, целей и порядка предоставления субсидий их получателям.</w:t>
      </w:r>
    </w:p>
    <w:p w:rsidR="000571DD" w:rsidRDefault="000571DD" w:rsidP="000571DD">
      <w:pPr>
        <w:numPr>
          <w:ilvl w:val="0"/>
          <w:numId w:val="12"/>
        </w:numPr>
        <w:tabs>
          <w:tab w:val="clear" w:pos="198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условий, установленных при предоставлении субсидии, Специалист направляет получателю субсидии почтовым отправление с уведомлением о вручении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Специалистом или органами финансового 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факта нарушения условий предоставления субсидии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10 рабочих дней 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возврате бюджетных средств получатель субсидии осуществляет возврат субсидии в бюджет Парабельского района по платежным реквизитам, указанным в уведомлении, или направляет в адрес Администрации Парабельского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1C3795" w:rsidRPr="001C3795" w:rsidRDefault="001C3795" w:rsidP="001C37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52635"/>
          <w:sz w:val="24"/>
          <w:szCs w:val="24"/>
          <w:lang w:eastAsia="ru-RU"/>
        </w:rPr>
      </w:pPr>
    </w:p>
    <w:p w:rsidR="000571DD" w:rsidRPr="000571DD" w:rsidRDefault="000571DD" w:rsidP="00EB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района -</w:t>
      </w:r>
    </w:p>
    <w:p w:rsidR="000571DD" w:rsidRDefault="000571DD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</w:t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Делами </w:t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05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B4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C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C3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А.А. Костарев</w:t>
      </w: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95" w:rsidRDefault="001C3795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199" w:rsidRDefault="00AD6199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1A7" w:rsidRPr="001C3795" w:rsidRDefault="00B621A7" w:rsidP="001C3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к Положению о предоставлении субсидий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расходов и  ставки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технической и технологической модернизации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60"/>
        <w:gridCol w:w="1980"/>
        <w:gridCol w:w="1980"/>
      </w:tblGrid>
      <w:tr w:rsidR="000571DD" w:rsidRPr="000571DD" w:rsidTr="000571DD">
        <w:tc>
          <w:tcPr>
            <w:tcW w:w="4860" w:type="dxa"/>
            <w:shd w:val="clear" w:color="auto" w:fill="auto"/>
            <w:vAlign w:val="center"/>
          </w:tcPr>
          <w:p w:rsidR="000571DD" w:rsidRPr="000571DD" w:rsidRDefault="000571DD" w:rsidP="00B621A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субсидии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 за счет средств областного бюджета</w:t>
            </w:r>
          </w:p>
        </w:tc>
      </w:tr>
      <w:tr w:rsidR="000571DD" w:rsidRPr="000571DD" w:rsidTr="000571DD">
        <w:tc>
          <w:tcPr>
            <w:tcW w:w="4860" w:type="dxa"/>
            <w:shd w:val="clear" w:color="auto" w:fill="auto"/>
            <w:vAlign w:val="center"/>
          </w:tcPr>
          <w:p w:rsidR="000571DD" w:rsidRPr="000571DD" w:rsidRDefault="000571DD" w:rsidP="00B621A7">
            <w:pPr>
              <w:spacing w:after="0" w:line="240" w:lineRule="auto"/>
              <w:ind w:right="108" w:hanging="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личное подсобное хозяйство, крестьянское (фермерское) хозяйство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71DD" w:rsidRPr="000571DD" w:rsidTr="000571DD">
        <w:tc>
          <w:tcPr>
            <w:tcW w:w="4860" w:type="dxa"/>
            <w:shd w:val="clear" w:color="auto" w:fill="auto"/>
            <w:vAlign w:val="center"/>
          </w:tcPr>
          <w:p w:rsidR="000571DD" w:rsidRPr="000571DD" w:rsidRDefault="00306A21" w:rsidP="00B621A7">
            <w:pPr>
              <w:spacing w:after="0" w:line="240" w:lineRule="auto"/>
              <w:ind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0571DD"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перевода топочных агрегатов зерносушильных комплексов на газ, грузовых автомобилей, тракторов и самоходной сельскохозяйственной техники на газомоторное топливо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571DD" w:rsidRPr="000571DD" w:rsidTr="000571DD">
        <w:tc>
          <w:tcPr>
            <w:tcW w:w="4860" w:type="dxa"/>
            <w:shd w:val="clear" w:color="auto" w:fill="auto"/>
            <w:vAlign w:val="center"/>
          </w:tcPr>
          <w:p w:rsidR="000571DD" w:rsidRPr="000571DD" w:rsidRDefault="00306A21" w:rsidP="00B621A7">
            <w:pPr>
              <w:spacing w:after="0" w:line="240" w:lineRule="auto"/>
              <w:ind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Приобретение </w:t>
            </w:r>
            <w:r w:rsidR="000571DD"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сельскохозяйственной техники, оборудования и тракторов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хозяйство, крестьянское (фермерское) хозяйство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71DD" w:rsidRPr="000571DD" w:rsidTr="000571DD">
        <w:tc>
          <w:tcPr>
            <w:tcW w:w="4860" w:type="dxa"/>
            <w:shd w:val="clear" w:color="auto" w:fill="auto"/>
            <w:vAlign w:val="center"/>
          </w:tcPr>
          <w:p w:rsidR="000571DD" w:rsidRPr="000571DD" w:rsidRDefault="000571DD" w:rsidP="00B621A7">
            <w:pPr>
              <w:tabs>
                <w:tab w:val="center" w:pos="4962"/>
                <w:tab w:val="right" w:pos="9355"/>
              </w:tabs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затрат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подсобное хозяйство, крестьянское (фермерское) хозяйство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99" w:rsidRDefault="00AD6199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99" w:rsidRDefault="00AD6199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99" w:rsidRPr="000571DD" w:rsidRDefault="00AD6199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99" w:rsidRPr="000571DD" w:rsidRDefault="00AD6199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к Положению о предоставлении субсидий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Коэффициенты перевода поголовья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животных в условные головы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02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</w:tblGrid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сельскохозяйственных животных</w:t>
            </w:r>
          </w:p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коровы, быки-производители, лошади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прочий крупный рогатый скот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козы, овцы (без овец романовской породы)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овцы романовской породы, свиньи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птица всех видов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571DD" w:rsidRPr="000571DD" w:rsidTr="000571DD">
        <w:tc>
          <w:tcPr>
            <w:tcW w:w="5328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6199" w:rsidRPr="000571DD" w:rsidRDefault="00AD6199" w:rsidP="00F71B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" w:name="_GoBack"/>
      <w:bookmarkEnd w:id="6"/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к Положению о предоставлении субсидий </w:t>
      </w:r>
    </w:p>
    <w:p w:rsidR="000571DD" w:rsidRPr="000571DD" w:rsidRDefault="000571DD" w:rsidP="00AD619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на развитие малых форм хозяйствования</w:t>
      </w:r>
    </w:p>
    <w:tbl>
      <w:tblPr>
        <w:tblW w:w="1032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567"/>
        <w:gridCol w:w="425"/>
        <w:gridCol w:w="142"/>
        <w:gridCol w:w="1559"/>
        <w:gridCol w:w="850"/>
        <w:gridCol w:w="142"/>
        <w:gridCol w:w="425"/>
        <w:gridCol w:w="426"/>
        <w:gridCol w:w="4800"/>
      </w:tblGrid>
      <w:tr w:rsidR="000571DD" w:rsidRPr="000571DD" w:rsidTr="005262CC">
        <w:trPr>
          <w:gridAfter w:val="1"/>
          <w:wAfter w:w="480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05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AD6199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0571DD" w:rsidRPr="0005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571DD" w:rsidRPr="000571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0571DD" w:rsidRPr="000571DD" w:rsidTr="005262CC">
        <w:tc>
          <w:tcPr>
            <w:tcW w:w="10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и дата регистрации заявления в Администрации Парабельского района (заполняется сотрудником Администрации)</w:t>
            </w:r>
          </w:p>
        </w:tc>
      </w:tr>
      <w:tr w:rsidR="000571DD" w:rsidRPr="000571DD" w:rsidTr="00AD6199">
        <w:trPr>
          <w:trHeight w:val="125"/>
        </w:trPr>
        <w:tc>
          <w:tcPr>
            <w:tcW w:w="10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71DD" w:rsidRPr="000571DD" w:rsidTr="005262CC">
        <w:trPr>
          <w:gridBefore w:val="7"/>
          <w:wBefore w:w="4536" w:type="dxa"/>
          <w:trHeight w:val="540"/>
        </w:trPr>
        <w:tc>
          <w:tcPr>
            <w:tcW w:w="5793" w:type="dxa"/>
            <w:gridSpan w:val="4"/>
            <w:tcBorders>
              <w:top w:val="nil"/>
              <w:left w:val="nil"/>
              <w:right w:val="nil"/>
            </w:tcBorders>
          </w:tcPr>
          <w:p w:rsidR="005262CC" w:rsidRDefault="005262CC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А</w:t>
            </w:r>
            <w:r w:rsidR="000571DD"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дминистрацию Парабельского района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5262CC" w:rsidRDefault="005262CC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Томской области</w:t>
            </w:r>
          </w:p>
          <w:p w:rsidR="005262CC" w:rsidRPr="005262CC" w:rsidRDefault="005262CC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(наименования муниципального образования)</w:t>
            </w: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262CC" w:rsidRPr="005262C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с. Парабель, ул. 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14</w:t>
            </w:r>
          </w:p>
          <w:p w:rsidR="000571DD" w:rsidRPr="000571DD" w:rsidRDefault="000571DD" w:rsidP="000571DD">
            <w:pPr>
              <w:spacing w:after="0" w:line="240" w:lineRule="auto"/>
              <w:ind w:left="-386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0571DD" w:rsidRPr="000571DD" w:rsidTr="005262CC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0571DD" w:rsidRPr="000571DD" w:rsidTr="005262CC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заявителя)</w:t>
            </w:r>
          </w:p>
        </w:tc>
      </w:tr>
      <w:tr w:rsidR="000571DD" w:rsidRPr="000571DD" w:rsidTr="005262CC">
        <w:trPr>
          <w:gridBefore w:val="7"/>
          <w:wBefore w:w="4536" w:type="dxa"/>
        </w:trPr>
        <w:tc>
          <w:tcPr>
            <w:tcW w:w="5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</w:tr>
    </w:tbl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1DD" w:rsidRPr="000571DD" w:rsidRDefault="000571DD" w:rsidP="00AD6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предоставлении субсидии</w:t>
      </w:r>
    </w:p>
    <w:p w:rsidR="00AD6199" w:rsidRDefault="00AD6199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lang w:eastAsia="ru-RU"/>
        </w:rPr>
        <w:t>Прошу предоставить государственную поддержку в соответствии с постановлением Администрации Томской области от</w:t>
      </w:r>
      <w:r w:rsidRPr="000571DD">
        <w:rPr>
          <w:rFonts w:ascii="Times New Roman" w:eastAsia="Times New Roman" w:hAnsi="Times New Roman" w:cs="Times New Roman"/>
          <w:color w:val="000000"/>
          <w:lang w:eastAsia="ru-RU"/>
        </w:rPr>
        <w:t xml:space="preserve"> 08.02.2016 № 36а «</w:t>
      </w:r>
      <w:r w:rsidRPr="000571DD">
        <w:rPr>
          <w:rFonts w:ascii="Times New Roman" w:eastAsia="Times New Roman" w:hAnsi="Times New Roman" w:cs="Times New Roman"/>
          <w:lang w:eastAsia="ru-RU"/>
        </w:rPr>
        <w:t>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</w:t>
      </w:r>
      <w:r w:rsidR="005262CC">
        <w:rPr>
          <w:rFonts w:ascii="Times New Roman" w:eastAsia="Times New Roman" w:hAnsi="Times New Roman" w:cs="Times New Roman"/>
          <w:lang w:eastAsia="ru-RU"/>
        </w:rPr>
        <w:t>рации Парабельского района от 18.04.2017</w:t>
      </w:r>
      <w:r w:rsidRPr="000571DD">
        <w:rPr>
          <w:rFonts w:ascii="Times New Roman" w:eastAsia="Times New Roman" w:hAnsi="Times New Roman" w:cs="Times New Roman"/>
          <w:lang w:eastAsia="ru-RU"/>
        </w:rPr>
        <w:t>г.  №</w:t>
      </w:r>
      <w:r w:rsidR="005262CC">
        <w:rPr>
          <w:rFonts w:ascii="Times New Roman" w:eastAsia="Times New Roman" w:hAnsi="Times New Roman" w:cs="Times New Roman"/>
          <w:lang w:eastAsia="ru-RU"/>
        </w:rPr>
        <w:t>523</w:t>
      </w:r>
      <w:r w:rsidRPr="000571DD">
        <w:rPr>
          <w:rFonts w:ascii="Times New Roman" w:eastAsia="Times New Roman" w:hAnsi="Times New Roman" w:cs="Times New Roman"/>
          <w:lang w:eastAsia="ru-RU"/>
        </w:rPr>
        <w:t>а  «</w:t>
      </w:r>
      <w:r w:rsidRPr="000571DD">
        <w:rPr>
          <w:rFonts w:ascii="Times New Roman" w:eastAsia="Times New Roman" w:hAnsi="Times New Roman" w:cs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</w:t>
      </w:r>
      <w:r w:rsidR="005262CC">
        <w:rPr>
          <w:rFonts w:ascii="Times New Roman" w:eastAsia="Times New Roman" w:hAnsi="Times New Roman" w:cs="Times New Roman"/>
          <w:bCs/>
          <w:lang w:eastAsia="ru-RU"/>
        </w:rPr>
        <w:t>ета Парабельского района в  2017</w:t>
      </w:r>
      <w:r w:rsidRPr="000571DD">
        <w:rPr>
          <w:rFonts w:ascii="Times New Roman" w:eastAsia="Times New Roman" w:hAnsi="Times New Roman" w:cs="Times New Roman"/>
          <w:bCs/>
          <w:lang w:eastAsia="ru-RU"/>
        </w:rPr>
        <w:t xml:space="preserve"> году»,</w:t>
      </w:r>
      <w:proofErr w:type="gramEnd"/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виде субсидии по направлению: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394"/>
      </w:tblGrid>
      <w:tr w:rsidR="000571DD" w:rsidRPr="000571DD" w:rsidTr="000571DD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(указать направление государственной  поддержки)</w:t>
            </w:r>
          </w:p>
        </w:tc>
      </w:tr>
      <w:tr w:rsidR="000571DD" w:rsidRPr="000571DD" w:rsidTr="000571D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5262CC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/ КПП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Юридический адрес заявителя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нахождения (место жительства)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proofErr w:type="spellStart"/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для перечисления субсидии: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расчетный счет (№ карты не принимается)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0571DD" w:rsidRPr="000571DD" w:rsidTr="000571D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системы налогообложения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  <w:tr w:rsidR="005262CC" w:rsidRPr="00042D2B" w:rsidTr="005262CC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EE5446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544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</w:tr>
      <w:tr w:rsidR="005262CC" w:rsidRPr="00042D2B" w:rsidTr="005262CC">
        <w:trPr>
          <w:trHeight w:val="1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EE5446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растениеводство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Да</w:t>
            </w:r>
            <w:proofErr w:type="gramStart"/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/Н</w:t>
            </w:r>
            <w:proofErr w:type="gramEnd"/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ет</w:t>
            </w:r>
          </w:p>
        </w:tc>
      </w:tr>
      <w:tr w:rsidR="005262CC" w:rsidRPr="00042D2B" w:rsidTr="005262CC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EE5446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животноводство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Да</w:t>
            </w:r>
            <w:proofErr w:type="gramStart"/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/Н</w:t>
            </w:r>
            <w:proofErr w:type="gramEnd"/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ет</w:t>
            </w:r>
          </w:p>
        </w:tc>
      </w:tr>
      <w:tr w:rsidR="005262CC" w:rsidRPr="00042D2B" w:rsidTr="005262CC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EE5446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смешанное сельское хозяйство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CC" w:rsidRPr="00042D2B" w:rsidRDefault="005262CC" w:rsidP="00AD619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042D2B"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  <w:t>Да/нет</w:t>
            </w:r>
          </w:p>
        </w:tc>
      </w:tr>
    </w:tbl>
    <w:p w:rsidR="005262CC" w:rsidRDefault="005262CC" w:rsidP="000571DD">
      <w:pPr>
        <w:spacing w:before="4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571DD" w:rsidRPr="000571DD" w:rsidRDefault="005262CC" w:rsidP="000571DD">
      <w:pPr>
        <w:spacing w:before="4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Настоящ</w:t>
      </w:r>
      <w:r w:rsidR="00AD6199">
        <w:rPr>
          <w:rFonts w:ascii="Times New Roman" w:eastAsia="Times New Roman" w:hAnsi="Times New Roman" w:cs="Times New Roman"/>
          <w:b/>
          <w:bCs/>
          <w:lang w:eastAsia="ru-RU"/>
        </w:rPr>
        <w:t>им подтверж</w:t>
      </w:r>
      <w:r w:rsidR="000571DD" w:rsidRPr="000571DD">
        <w:rPr>
          <w:rFonts w:ascii="Times New Roman" w:eastAsia="Times New Roman" w:hAnsi="Times New Roman" w:cs="Times New Roman"/>
          <w:b/>
          <w:bCs/>
          <w:lang w:eastAsia="ru-RU"/>
        </w:rPr>
        <w:t>даю:</w:t>
      </w:r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- достоверность сведений и документов, представляемых в администрацию Парабельского района для получения государственной поддержки в виде субсидии по вышеуказанному направлению;</w:t>
      </w:r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lang w:eastAsia="ru-RU"/>
        </w:rPr>
        <w:t xml:space="preserve">- соответствие условиям предоставления мер государственной поддержки, установленным постановлением Администрации Томской области от 08.02.2016 </w:t>
      </w:r>
      <w:r w:rsidRPr="000571DD">
        <w:rPr>
          <w:rFonts w:ascii="Times New Roman" w:eastAsia="Times New Roman" w:hAnsi="Times New Roman" w:cs="Times New Roman"/>
          <w:color w:val="000000"/>
          <w:lang w:eastAsia="ru-RU"/>
        </w:rPr>
        <w:t xml:space="preserve">№36а </w:t>
      </w:r>
      <w:r w:rsidRPr="000571DD">
        <w:rPr>
          <w:rFonts w:ascii="Times New Roman" w:eastAsia="Times New Roman" w:hAnsi="Times New Roman" w:cs="Times New Roman"/>
          <w:lang w:eastAsia="ru-RU"/>
        </w:rPr>
        <w:t xml:space="preserve">«Об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постановлением администрации Парабельского района от </w:t>
      </w:r>
      <w:r w:rsidR="00B621A7">
        <w:rPr>
          <w:rFonts w:ascii="Times New Roman" w:eastAsia="Times New Roman" w:hAnsi="Times New Roman" w:cs="Times New Roman"/>
          <w:lang w:eastAsia="ru-RU"/>
        </w:rPr>
        <w:t>18.07.2017г.</w:t>
      </w:r>
      <w:r w:rsidRPr="000571DD">
        <w:rPr>
          <w:rFonts w:ascii="Times New Roman" w:eastAsia="Times New Roman" w:hAnsi="Times New Roman" w:cs="Times New Roman"/>
          <w:lang w:eastAsia="ru-RU"/>
        </w:rPr>
        <w:t xml:space="preserve">  № </w:t>
      </w:r>
      <w:r w:rsidR="00B621A7">
        <w:rPr>
          <w:rFonts w:ascii="Times New Roman" w:eastAsia="Times New Roman" w:hAnsi="Times New Roman" w:cs="Times New Roman"/>
          <w:lang w:eastAsia="ru-RU"/>
        </w:rPr>
        <w:t>523а</w:t>
      </w:r>
      <w:r w:rsidRPr="000571DD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0571DD">
        <w:rPr>
          <w:rFonts w:ascii="Times New Roman" w:eastAsia="Times New Roman" w:hAnsi="Times New Roman" w:cs="Times New Roman"/>
          <w:bCs/>
          <w:lang w:eastAsia="ru-RU"/>
        </w:rPr>
        <w:t>Об утверждении положений о предоставлении субсидий сельскохозяйственным товаропроизводителям из бюдж</w:t>
      </w:r>
      <w:r w:rsidR="00B621A7">
        <w:rPr>
          <w:rFonts w:ascii="Times New Roman" w:eastAsia="Times New Roman" w:hAnsi="Times New Roman" w:cs="Times New Roman"/>
          <w:bCs/>
          <w:lang w:eastAsia="ru-RU"/>
        </w:rPr>
        <w:t>ета Парабельского района в  2017</w:t>
      </w:r>
      <w:r w:rsidRPr="000571DD">
        <w:rPr>
          <w:rFonts w:ascii="Times New Roman" w:eastAsia="Times New Roman" w:hAnsi="Times New Roman" w:cs="Times New Roman"/>
          <w:bCs/>
          <w:lang w:eastAsia="ru-RU"/>
        </w:rPr>
        <w:t xml:space="preserve"> году»,</w:t>
      </w:r>
      <w:proofErr w:type="gramEnd"/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- наличие у заявителя статуса 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0571DD">
        <w:rPr>
          <w:rFonts w:ascii="Times New Roman" w:eastAsia="Times New Roman" w:hAnsi="Times New Roman" w:cs="Times New Roman"/>
          <w:b/>
          <w:bCs/>
          <w:lang w:eastAsia="ru-RU"/>
        </w:rPr>
        <w:t>“</w:t>
      </w:r>
      <w:r w:rsidRPr="000571DD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0571DD">
        <w:rPr>
          <w:rFonts w:ascii="Times New Roman" w:eastAsia="Times New Roman" w:hAnsi="Times New Roman" w:cs="Times New Roman"/>
          <w:b/>
          <w:bCs/>
          <w:lang w:eastAsia="ru-RU"/>
        </w:rPr>
        <w:t>”</w:t>
      </w:r>
      <w:r w:rsidRPr="000571DD">
        <w:rPr>
          <w:rFonts w:ascii="Times New Roman" w:eastAsia="Times New Roman" w:hAnsi="Times New Roman" w:cs="Times New Roman"/>
          <w:lang w:eastAsia="ru-RU"/>
        </w:rPr>
        <w:t xml:space="preserve"> соответствующую графу):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134"/>
      </w:tblGrid>
      <w:tr w:rsidR="000571DD" w:rsidRPr="000571DD" w:rsidTr="000571DD">
        <w:tc>
          <w:tcPr>
            <w:tcW w:w="8505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134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8505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8" w:history="1">
              <w:r w:rsidRPr="000571DD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 от 7 июля 2003 года N 112-ФЗ "О личном подсобном хозяйстве"</w:t>
            </w:r>
          </w:p>
        </w:tc>
        <w:tc>
          <w:tcPr>
            <w:tcW w:w="1134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8505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9" w:history="1">
              <w:r w:rsidRPr="000571DD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 от 08.12.1995 № 193-ФЗ "О сельскохозяйственной кооперации"</w:t>
            </w:r>
          </w:p>
        </w:tc>
        <w:tc>
          <w:tcPr>
            <w:tcW w:w="1134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8505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10" w:history="1">
              <w:r w:rsidRPr="000571DD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 от 11.06.2003 № 74-ФЗ "О крестьянском (фермерском) хозяйстве"</w:t>
            </w:r>
          </w:p>
        </w:tc>
        <w:tc>
          <w:tcPr>
            <w:tcW w:w="1134" w:type="dxa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71DD" w:rsidRPr="000571DD" w:rsidRDefault="000571DD" w:rsidP="000571D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lang w:eastAsia="ru-RU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84"/>
        <w:gridCol w:w="1417"/>
        <w:gridCol w:w="425"/>
        <w:gridCol w:w="426"/>
        <w:gridCol w:w="283"/>
        <w:gridCol w:w="1134"/>
        <w:gridCol w:w="142"/>
        <w:gridCol w:w="1559"/>
        <w:gridCol w:w="142"/>
        <w:gridCol w:w="3118"/>
      </w:tblGrid>
      <w:tr w:rsidR="000571DD" w:rsidRPr="000571DD" w:rsidTr="000571DD">
        <w:trPr>
          <w:gridAfter w:val="5"/>
          <w:wAfter w:w="6095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571DD" w:rsidRPr="000571DD" w:rsidTr="000571DD"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0571DD" w:rsidRPr="000571DD" w:rsidRDefault="000571DD" w:rsidP="000571DD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:rsidR="000571DD" w:rsidRPr="000571DD" w:rsidRDefault="000571DD" w:rsidP="000571D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 на ____л. в ____экз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0571DD">
        <w:rPr>
          <w:rFonts w:ascii="Times New Roman" w:eastAsia="Times New Roman" w:hAnsi="Times New Roman" w:cs="Times New Roman"/>
          <w:lang w:eastAsia="ru-RU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71DD" w:rsidRPr="000571DD" w:rsidRDefault="000571DD" w:rsidP="000571D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Перечень представляемых в Администрацию документов: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283"/>
        <w:gridCol w:w="284"/>
        <w:gridCol w:w="1417"/>
        <w:gridCol w:w="425"/>
        <w:gridCol w:w="426"/>
        <w:gridCol w:w="283"/>
        <w:gridCol w:w="851"/>
        <w:gridCol w:w="141"/>
        <w:gridCol w:w="1560"/>
        <w:gridCol w:w="141"/>
        <w:gridCol w:w="3402"/>
      </w:tblGrid>
      <w:tr w:rsidR="000571DD" w:rsidRPr="000571DD" w:rsidTr="000571DD">
        <w:trPr>
          <w:trHeight w:val="28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92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rPr>
          <w:trHeight w:val="27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rPr>
          <w:trHeight w:val="27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rPr>
          <w:trHeight w:val="27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rPr>
          <w:trHeight w:val="276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D" w:rsidRPr="000571DD" w:rsidTr="000571DD">
        <w:trPr>
          <w:gridAfter w:val="5"/>
          <w:wAfter w:w="6095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1DD" w:rsidRPr="000571DD" w:rsidTr="000571DD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5262CC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rPr>
          <w:trHeight w:val="277"/>
        </w:trPr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62CC" w:rsidRDefault="005262CC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6199" w:rsidRDefault="00AD6199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6199" w:rsidRDefault="00AD6199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6199" w:rsidRPr="000571DD" w:rsidRDefault="00AD6199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1C3795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к Положению о предоставлении субсидий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– расчет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причитающихся субсидий 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направлению: </w:t>
      </w:r>
      <w:r w:rsidRPr="0005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содержание коров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ведущий ЛПХ/Глава КФХ 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________________________ №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телефона_______________________________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439"/>
        <w:gridCol w:w="1336"/>
        <w:gridCol w:w="1904"/>
        <w:gridCol w:w="2018"/>
      </w:tblGrid>
      <w:tr w:rsidR="000571DD" w:rsidRPr="000571DD" w:rsidTr="000571DD">
        <w:tc>
          <w:tcPr>
            <w:tcW w:w="629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Поголовье, голов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Ставка субсидии (рублей за голову)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Сумма причитающейся субсидии, рублей</w:t>
            </w:r>
          </w:p>
        </w:tc>
      </w:tr>
      <w:tr w:rsidR="000571DD" w:rsidRPr="000571DD" w:rsidTr="000571DD">
        <w:tc>
          <w:tcPr>
            <w:tcW w:w="629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в т.ч.:</w:t>
            </w:r>
          </w:p>
        </w:tc>
        <w:tc>
          <w:tcPr>
            <w:tcW w:w="1336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201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</w:tr>
      <w:tr w:rsidR="000571DD" w:rsidRPr="000571DD" w:rsidTr="000571DD">
        <w:tc>
          <w:tcPr>
            <w:tcW w:w="629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336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01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4068" w:type="dxa"/>
            <w:gridSpan w:val="2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6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01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>(подпись)</w:t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  <w:t>(фамилия, инициалы)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B621A7" w:rsidP="000571DD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«______»__________________2017</w:t>
      </w:r>
      <w:r w:rsidR="000571DD" w:rsidRPr="000571D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0571DD" w:rsidRPr="000571DD" w:rsidSect="00AD6199">
          <w:pgSz w:w="11905" w:h="16838"/>
          <w:pgMar w:top="851" w:right="567" w:bottom="709" w:left="1134" w:header="0" w:footer="0" w:gutter="0"/>
          <w:cols w:space="720"/>
          <w:docGrid w:linePitch="326"/>
        </w:sect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5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к Положению о предоставлении субсидий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– расчет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причитающихся субсидий на возмещение части затрат на обеспечение технической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технологической модернизации (в том числе затрат по договору кредита (займа) (без учета процентов))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</w:t>
      </w:r>
      <w:r w:rsidR="00B62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____за</w:t>
      </w:r>
      <w:proofErr w:type="gramEnd"/>
      <w:r w:rsidR="00B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2017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571DD" w:rsidRPr="000571DD" w:rsidRDefault="000571DD" w:rsidP="000571D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(наименование получателя субсидий)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 субсидий                                     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получателя субсидий  _________________________________________________________________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контактного телефона                                        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по муниципальному образованию         </w:t>
      </w:r>
      <w:r w:rsidRPr="00057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69644000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лимит финансирования (лимит)      __________________ рублей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52"/>
        <w:gridCol w:w="2128"/>
        <w:gridCol w:w="2160"/>
        <w:gridCol w:w="1620"/>
        <w:gridCol w:w="1020"/>
        <w:gridCol w:w="1500"/>
        <w:gridCol w:w="1620"/>
        <w:gridCol w:w="1508"/>
      </w:tblGrid>
      <w:tr w:rsidR="000571DD" w:rsidRPr="000571DD" w:rsidTr="000571DD">
        <w:tc>
          <w:tcPr>
            <w:tcW w:w="1908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(виды расходов)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№ и дата договора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Наименование приобретения, выполнения работ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Затраты на приобретение, выполнение работ, лизинговые платежи (рублей)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Оплачено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Ставка (размер) субсидии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Сумма субсидии к перечислению (рублей)</w:t>
            </w:r>
          </w:p>
        </w:tc>
      </w:tr>
      <w:tr w:rsidR="000571DD" w:rsidRPr="000571DD" w:rsidTr="000571DD">
        <w:tc>
          <w:tcPr>
            <w:tcW w:w="1908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№ и дата платежных документов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Сумма (рублей)</w:t>
            </w:r>
          </w:p>
        </w:tc>
        <w:tc>
          <w:tcPr>
            <w:tcW w:w="1500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19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19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19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71DD" w:rsidRPr="000571DD" w:rsidTr="000571DD">
        <w:tc>
          <w:tcPr>
            <w:tcW w:w="19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5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212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8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3128"/>
        <w:gridCol w:w="142"/>
        <w:gridCol w:w="3638"/>
      </w:tblGrid>
      <w:tr w:rsidR="000571DD" w:rsidRPr="000571DD" w:rsidTr="000571DD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71DD" w:rsidRPr="000571DD" w:rsidTr="000571D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(наименование заявителя с указанием должности)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0571DD" w:rsidRPr="000571DD" w:rsidRDefault="000571DD" w:rsidP="000571DD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М.П. (при наличии)</w:t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="00B621A7">
        <w:rPr>
          <w:rFonts w:ascii="Times New Roman" w:eastAsia="Times New Roman" w:hAnsi="Times New Roman" w:cs="Times New Roman"/>
          <w:lang w:eastAsia="ru-RU"/>
        </w:rPr>
        <w:tab/>
      </w:r>
      <w:r w:rsidR="00B621A7">
        <w:rPr>
          <w:rFonts w:ascii="Times New Roman" w:eastAsia="Times New Roman" w:hAnsi="Times New Roman" w:cs="Times New Roman"/>
          <w:lang w:eastAsia="ru-RU"/>
        </w:rPr>
        <w:tab/>
        <w:t>«______»__________________2017</w:t>
      </w:r>
      <w:r w:rsidRPr="000571D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0571DD" w:rsidRPr="000571DD" w:rsidSect="000571DD">
          <w:pgSz w:w="16838" w:h="11905" w:orient="landscape"/>
          <w:pgMar w:top="1701" w:right="1134" w:bottom="924" w:left="1134" w:header="0" w:footer="0" w:gutter="0"/>
          <w:cols w:space="720"/>
        </w:sect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B621A7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6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к Положению о предоставлении субсидий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>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крупного рогатого скота,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прошедшего процедуру первичной идентификации животных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чипирования</w:t>
      </w:r>
      <w:proofErr w:type="spell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биркования</w:t>
      </w:r>
      <w:proofErr w:type="spellEnd"/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ведущий ЛПХ/Глава КФХ ___________________________________________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подсобного хозяйства___________________________________________________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хозяйстве имеется следующее поголовье животных: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800"/>
        <w:gridCol w:w="3240"/>
      </w:tblGrid>
      <w:tr w:rsidR="000571DD" w:rsidRPr="000571DD" w:rsidTr="000571DD">
        <w:tc>
          <w:tcPr>
            <w:tcW w:w="64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сельскохозяйственного животного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Поголовье, голов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0571DD" w:rsidRPr="000571DD" w:rsidTr="000571DD">
        <w:tc>
          <w:tcPr>
            <w:tcW w:w="64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в т.ч.:</w:t>
            </w:r>
          </w:p>
        </w:tc>
        <w:tc>
          <w:tcPr>
            <w:tcW w:w="18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</w:tr>
      <w:tr w:rsidR="000571DD" w:rsidRPr="000571DD" w:rsidTr="000571DD">
        <w:tc>
          <w:tcPr>
            <w:tcW w:w="648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</w:t>
            </w:r>
          </w:p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указанных в справке подтверждаю.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>(подпись)</w:t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  <w:t>(фамилия, инициалы)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по скоту, прошедшему процедуру идентификации (методом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чипирования</w:t>
      </w:r>
      <w:proofErr w:type="spell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биркования</w:t>
      </w:r>
      <w:proofErr w:type="spell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подтверждаю.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Ветеринарный врач /фельдшер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 «____________________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__________________________»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lang w:eastAsia="ru-RU"/>
        </w:rPr>
        <w:t xml:space="preserve">     (подпись)</w:t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</w:r>
      <w:r w:rsidRPr="000571DD">
        <w:rPr>
          <w:rFonts w:ascii="Times New Roman" w:eastAsia="Times New Roman" w:hAnsi="Times New Roman" w:cs="Times New Roman"/>
          <w:lang w:eastAsia="ru-RU"/>
        </w:rPr>
        <w:tab/>
        <w:t xml:space="preserve">   (фамилия, инициалы)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B621A7" w:rsidP="0005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«_____»_____________2017</w:t>
      </w:r>
      <w:r w:rsidR="000571DD"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7 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Положению о предоставлении субсидий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развитие малых форм хозяйствования</w:t>
      </w:r>
    </w:p>
    <w:p w:rsidR="000571DD" w:rsidRPr="000571DD" w:rsidRDefault="000571DD" w:rsidP="00057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Форма сводного реестра 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причитающихся субсидий на развитие личных подсобных хозяйств, 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источником финансового </w:t>
      </w:r>
      <w:proofErr w:type="gramStart"/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</w:t>
      </w:r>
      <w:proofErr w:type="gramEnd"/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которых являются средства областного бюджета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B621A7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за _________________2017</w:t>
      </w:r>
      <w:r w:rsidR="000571DD"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71D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субсидии:__________________________________________________________</w:t>
      </w: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97"/>
        <w:gridCol w:w="1534"/>
        <w:gridCol w:w="1383"/>
        <w:gridCol w:w="1134"/>
        <w:gridCol w:w="1732"/>
        <w:gridCol w:w="1573"/>
      </w:tblGrid>
      <w:tr w:rsidR="000571DD" w:rsidRPr="000571DD" w:rsidTr="000571DD">
        <w:tc>
          <w:tcPr>
            <w:tcW w:w="542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Наименование  получателей субсидий и ИНН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Ставка субсидии                                                        (рублей за единицу)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Сумма причитающейся субсидии (рублей)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lang w:eastAsia="ru-RU"/>
              </w:rPr>
              <w:t>Сумма субсидии к перечислению (рублей)</w:t>
            </w:r>
          </w:p>
        </w:tc>
      </w:tr>
      <w:tr w:rsidR="000571DD" w:rsidRPr="000571DD" w:rsidTr="000571DD">
        <w:tc>
          <w:tcPr>
            <w:tcW w:w="54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c>
          <w:tcPr>
            <w:tcW w:w="54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c>
          <w:tcPr>
            <w:tcW w:w="54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71DD" w:rsidRPr="000571DD" w:rsidTr="000571DD">
        <w:tc>
          <w:tcPr>
            <w:tcW w:w="3673" w:type="dxa"/>
            <w:gridSpan w:val="3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571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8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3" w:type="dxa"/>
            <w:shd w:val="clear" w:color="auto" w:fill="auto"/>
          </w:tcPr>
          <w:p w:rsidR="000571DD" w:rsidRPr="000571DD" w:rsidRDefault="000571DD" w:rsidP="000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Парабельского района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(___________________)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инициалы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отдела бухгалтерского 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Администрации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Парабельского района</w:t>
      </w:r>
      <w:proofErr w:type="gramStart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(___________________)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инициалы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(инициалы)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7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71DD" w:rsidRPr="000571DD" w:rsidRDefault="000571DD" w:rsidP="00057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71DD" w:rsidRPr="000571DD" w:rsidRDefault="000571DD" w:rsidP="0005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DD" w:rsidRDefault="000571DD" w:rsidP="00E94CB1">
      <w:pPr>
        <w:jc w:val="both"/>
      </w:pPr>
    </w:p>
    <w:sectPr w:rsidR="0005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2D0"/>
    <w:multiLevelType w:val="multilevel"/>
    <w:tmpl w:val="9D9E57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C746813"/>
    <w:multiLevelType w:val="hybridMultilevel"/>
    <w:tmpl w:val="BF7A3444"/>
    <w:lvl w:ilvl="0" w:tplc="C2EED60E">
      <w:start w:val="1"/>
      <w:numFmt w:val="decimal"/>
      <w:lvlText w:val="%1)"/>
      <w:lvlJc w:val="left"/>
      <w:pPr>
        <w:tabs>
          <w:tab w:val="num" w:pos="1938"/>
        </w:tabs>
        <w:ind w:left="1938" w:hanging="690"/>
      </w:pPr>
      <w:rPr>
        <w:rFonts w:hint="default"/>
      </w:rPr>
    </w:lvl>
    <w:lvl w:ilvl="1" w:tplc="4AA868AC">
      <w:start w:val="1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850D75A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302F34BA"/>
    <w:multiLevelType w:val="hybridMultilevel"/>
    <w:tmpl w:val="4216CE22"/>
    <w:lvl w:ilvl="0" w:tplc="B4AA91AC">
      <w:start w:val="1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1E3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543B8"/>
    <w:multiLevelType w:val="hybridMultilevel"/>
    <w:tmpl w:val="7CBCB764"/>
    <w:lvl w:ilvl="0" w:tplc="4AD09F3E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81DDD"/>
    <w:multiLevelType w:val="hybridMultilevel"/>
    <w:tmpl w:val="182E0EE8"/>
    <w:lvl w:ilvl="0" w:tplc="2C3C56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2068A70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42A90CBE"/>
    <w:multiLevelType w:val="hybridMultilevel"/>
    <w:tmpl w:val="09601A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39F7E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C029E6"/>
    <w:multiLevelType w:val="hybridMultilevel"/>
    <w:tmpl w:val="2EB8ABB4"/>
    <w:lvl w:ilvl="0" w:tplc="B91E3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25F48"/>
    <w:multiLevelType w:val="hybridMultilevel"/>
    <w:tmpl w:val="C7E673DC"/>
    <w:lvl w:ilvl="0" w:tplc="C2EED60E">
      <w:start w:val="1"/>
      <w:numFmt w:val="decimal"/>
      <w:lvlText w:val="%1)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C07ABC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64C405A8"/>
    <w:multiLevelType w:val="hybridMultilevel"/>
    <w:tmpl w:val="E150585C"/>
    <w:lvl w:ilvl="0" w:tplc="56FA4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52635"/>
        <w:sz w:val="20"/>
      </w:rPr>
    </w:lvl>
    <w:lvl w:ilvl="1" w:tplc="55ECB91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52635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67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96352A"/>
    <w:multiLevelType w:val="hybridMultilevel"/>
    <w:tmpl w:val="27F8DC90"/>
    <w:lvl w:ilvl="0" w:tplc="1610AB94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206E7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FA6E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6A"/>
    <w:rsid w:val="0000214A"/>
    <w:rsid w:val="000140C6"/>
    <w:rsid w:val="000147D3"/>
    <w:rsid w:val="00015548"/>
    <w:rsid w:val="00017545"/>
    <w:rsid w:val="00027095"/>
    <w:rsid w:val="00034F10"/>
    <w:rsid w:val="00046B49"/>
    <w:rsid w:val="000571DD"/>
    <w:rsid w:val="00057CB4"/>
    <w:rsid w:val="000659EB"/>
    <w:rsid w:val="00066035"/>
    <w:rsid w:val="00092B39"/>
    <w:rsid w:val="00096852"/>
    <w:rsid w:val="00097E2B"/>
    <w:rsid w:val="000C2B0A"/>
    <w:rsid w:val="000E24AE"/>
    <w:rsid w:val="000F0A06"/>
    <w:rsid w:val="00111B7E"/>
    <w:rsid w:val="00113781"/>
    <w:rsid w:val="00120995"/>
    <w:rsid w:val="001316BA"/>
    <w:rsid w:val="00133BB3"/>
    <w:rsid w:val="001422A1"/>
    <w:rsid w:val="001713A1"/>
    <w:rsid w:val="00174549"/>
    <w:rsid w:val="00176D7F"/>
    <w:rsid w:val="00196FA0"/>
    <w:rsid w:val="001A1E6D"/>
    <w:rsid w:val="001A38F1"/>
    <w:rsid w:val="001C014E"/>
    <w:rsid w:val="001C3795"/>
    <w:rsid w:val="001C5D87"/>
    <w:rsid w:val="001D08BD"/>
    <w:rsid w:val="001D62DC"/>
    <w:rsid w:val="001E1B55"/>
    <w:rsid w:val="001E2ADA"/>
    <w:rsid w:val="001F2E83"/>
    <w:rsid w:val="001F5888"/>
    <w:rsid w:val="0020127F"/>
    <w:rsid w:val="00214A1E"/>
    <w:rsid w:val="00223921"/>
    <w:rsid w:val="002321D0"/>
    <w:rsid w:val="00237124"/>
    <w:rsid w:val="00251A3A"/>
    <w:rsid w:val="00277F72"/>
    <w:rsid w:val="00280C13"/>
    <w:rsid w:val="002931DD"/>
    <w:rsid w:val="002A370D"/>
    <w:rsid w:val="002B3C53"/>
    <w:rsid w:val="002B49E4"/>
    <w:rsid w:val="002C473C"/>
    <w:rsid w:val="002C67EE"/>
    <w:rsid w:val="003034A5"/>
    <w:rsid w:val="00306A21"/>
    <w:rsid w:val="00310140"/>
    <w:rsid w:val="00312F14"/>
    <w:rsid w:val="0032185B"/>
    <w:rsid w:val="003366F2"/>
    <w:rsid w:val="003401BE"/>
    <w:rsid w:val="003421C6"/>
    <w:rsid w:val="003452DD"/>
    <w:rsid w:val="003713B7"/>
    <w:rsid w:val="003952CD"/>
    <w:rsid w:val="003A1799"/>
    <w:rsid w:val="003A534D"/>
    <w:rsid w:val="003A625E"/>
    <w:rsid w:val="003B11F4"/>
    <w:rsid w:val="003B4B09"/>
    <w:rsid w:val="003B6A30"/>
    <w:rsid w:val="003C02B6"/>
    <w:rsid w:val="003D7604"/>
    <w:rsid w:val="003F6CC3"/>
    <w:rsid w:val="00400DD0"/>
    <w:rsid w:val="00412357"/>
    <w:rsid w:val="004143B0"/>
    <w:rsid w:val="00417C7B"/>
    <w:rsid w:val="004217E0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E62A7"/>
    <w:rsid w:val="004F3713"/>
    <w:rsid w:val="00501C09"/>
    <w:rsid w:val="005059B9"/>
    <w:rsid w:val="00506B5B"/>
    <w:rsid w:val="00513550"/>
    <w:rsid w:val="00522B73"/>
    <w:rsid w:val="005262CC"/>
    <w:rsid w:val="0054324B"/>
    <w:rsid w:val="00554134"/>
    <w:rsid w:val="005903D0"/>
    <w:rsid w:val="005944C9"/>
    <w:rsid w:val="00594F7D"/>
    <w:rsid w:val="005A6909"/>
    <w:rsid w:val="005B23C5"/>
    <w:rsid w:val="005B5A8F"/>
    <w:rsid w:val="005D0F8A"/>
    <w:rsid w:val="005F0091"/>
    <w:rsid w:val="005F5962"/>
    <w:rsid w:val="006170D8"/>
    <w:rsid w:val="00620D3E"/>
    <w:rsid w:val="00623DF2"/>
    <w:rsid w:val="00627CFF"/>
    <w:rsid w:val="0063446D"/>
    <w:rsid w:val="00643751"/>
    <w:rsid w:val="00646481"/>
    <w:rsid w:val="0065338A"/>
    <w:rsid w:val="006A3AEB"/>
    <w:rsid w:val="006C10CE"/>
    <w:rsid w:val="006C2066"/>
    <w:rsid w:val="006D6374"/>
    <w:rsid w:val="006D7571"/>
    <w:rsid w:val="006E1807"/>
    <w:rsid w:val="006E2526"/>
    <w:rsid w:val="00717594"/>
    <w:rsid w:val="00731C8D"/>
    <w:rsid w:val="007351A9"/>
    <w:rsid w:val="007372D6"/>
    <w:rsid w:val="0074629B"/>
    <w:rsid w:val="007517F9"/>
    <w:rsid w:val="00752859"/>
    <w:rsid w:val="00755E58"/>
    <w:rsid w:val="00757B52"/>
    <w:rsid w:val="00765A9A"/>
    <w:rsid w:val="00765B34"/>
    <w:rsid w:val="0077058F"/>
    <w:rsid w:val="007707B6"/>
    <w:rsid w:val="007A661F"/>
    <w:rsid w:val="007B5F26"/>
    <w:rsid w:val="007C0188"/>
    <w:rsid w:val="007C0FC8"/>
    <w:rsid w:val="007F4CA8"/>
    <w:rsid w:val="00801B95"/>
    <w:rsid w:val="00825A42"/>
    <w:rsid w:val="00844CAB"/>
    <w:rsid w:val="00870900"/>
    <w:rsid w:val="00872598"/>
    <w:rsid w:val="00891E77"/>
    <w:rsid w:val="00894EFF"/>
    <w:rsid w:val="00897A07"/>
    <w:rsid w:val="008A3EA0"/>
    <w:rsid w:val="008A70FA"/>
    <w:rsid w:val="008B186E"/>
    <w:rsid w:val="008B3996"/>
    <w:rsid w:val="008D3C64"/>
    <w:rsid w:val="008E0448"/>
    <w:rsid w:val="008E1DA0"/>
    <w:rsid w:val="008E7A14"/>
    <w:rsid w:val="008F2D2F"/>
    <w:rsid w:val="00900BF8"/>
    <w:rsid w:val="00914A59"/>
    <w:rsid w:val="00922F8F"/>
    <w:rsid w:val="00924833"/>
    <w:rsid w:val="00932AAE"/>
    <w:rsid w:val="00937B75"/>
    <w:rsid w:val="00956FF5"/>
    <w:rsid w:val="009609A7"/>
    <w:rsid w:val="00964149"/>
    <w:rsid w:val="00971A06"/>
    <w:rsid w:val="00974EB2"/>
    <w:rsid w:val="00987DF1"/>
    <w:rsid w:val="009A6085"/>
    <w:rsid w:val="009B660F"/>
    <w:rsid w:val="009D37A5"/>
    <w:rsid w:val="009E156F"/>
    <w:rsid w:val="009E2977"/>
    <w:rsid w:val="009E380A"/>
    <w:rsid w:val="009F2921"/>
    <w:rsid w:val="009F7194"/>
    <w:rsid w:val="00A2173B"/>
    <w:rsid w:val="00A23AFC"/>
    <w:rsid w:val="00A24C45"/>
    <w:rsid w:val="00A3069D"/>
    <w:rsid w:val="00A47971"/>
    <w:rsid w:val="00A609C7"/>
    <w:rsid w:val="00A6552D"/>
    <w:rsid w:val="00A7007B"/>
    <w:rsid w:val="00A7224F"/>
    <w:rsid w:val="00A875C2"/>
    <w:rsid w:val="00AA73AE"/>
    <w:rsid w:val="00AB1D92"/>
    <w:rsid w:val="00AB53A9"/>
    <w:rsid w:val="00AB551A"/>
    <w:rsid w:val="00AC2A6E"/>
    <w:rsid w:val="00AD6199"/>
    <w:rsid w:val="00AD79D6"/>
    <w:rsid w:val="00AF0772"/>
    <w:rsid w:val="00AF68A8"/>
    <w:rsid w:val="00B128F0"/>
    <w:rsid w:val="00B137C8"/>
    <w:rsid w:val="00B2146C"/>
    <w:rsid w:val="00B35216"/>
    <w:rsid w:val="00B451ED"/>
    <w:rsid w:val="00B621A7"/>
    <w:rsid w:val="00B672F8"/>
    <w:rsid w:val="00B75B8D"/>
    <w:rsid w:val="00B8638E"/>
    <w:rsid w:val="00BA4A76"/>
    <w:rsid w:val="00BB0538"/>
    <w:rsid w:val="00BB2A51"/>
    <w:rsid w:val="00BC24AD"/>
    <w:rsid w:val="00BD5D10"/>
    <w:rsid w:val="00BE52CE"/>
    <w:rsid w:val="00BF5C92"/>
    <w:rsid w:val="00BF70EC"/>
    <w:rsid w:val="00C10B82"/>
    <w:rsid w:val="00C30B88"/>
    <w:rsid w:val="00C336CC"/>
    <w:rsid w:val="00C61233"/>
    <w:rsid w:val="00C7146A"/>
    <w:rsid w:val="00C72F6A"/>
    <w:rsid w:val="00C75609"/>
    <w:rsid w:val="00C82826"/>
    <w:rsid w:val="00C96CC3"/>
    <w:rsid w:val="00CA7BFA"/>
    <w:rsid w:val="00CA7D11"/>
    <w:rsid w:val="00CB1BD2"/>
    <w:rsid w:val="00CB5DE5"/>
    <w:rsid w:val="00CD644D"/>
    <w:rsid w:val="00D2153B"/>
    <w:rsid w:val="00D34923"/>
    <w:rsid w:val="00D40FC9"/>
    <w:rsid w:val="00D429F8"/>
    <w:rsid w:val="00D615DD"/>
    <w:rsid w:val="00D61D4C"/>
    <w:rsid w:val="00D6376D"/>
    <w:rsid w:val="00D65DD0"/>
    <w:rsid w:val="00D664A8"/>
    <w:rsid w:val="00D92EE2"/>
    <w:rsid w:val="00D93A8B"/>
    <w:rsid w:val="00D9728F"/>
    <w:rsid w:val="00DA2DDF"/>
    <w:rsid w:val="00DB03BF"/>
    <w:rsid w:val="00DB6C84"/>
    <w:rsid w:val="00DC0AB0"/>
    <w:rsid w:val="00DC53D5"/>
    <w:rsid w:val="00DD0305"/>
    <w:rsid w:val="00DD68E0"/>
    <w:rsid w:val="00DE1076"/>
    <w:rsid w:val="00DF4A7D"/>
    <w:rsid w:val="00DF4B7F"/>
    <w:rsid w:val="00DF5B48"/>
    <w:rsid w:val="00E12EEA"/>
    <w:rsid w:val="00E14A22"/>
    <w:rsid w:val="00E16CA3"/>
    <w:rsid w:val="00E33504"/>
    <w:rsid w:val="00E37586"/>
    <w:rsid w:val="00E42FA6"/>
    <w:rsid w:val="00E52E61"/>
    <w:rsid w:val="00E54070"/>
    <w:rsid w:val="00E55F94"/>
    <w:rsid w:val="00E72CEC"/>
    <w:rsid w:val="00E814E3"/>
    <w:rsid w:val="00E847A2"/>
    <w:rsid w:val="00E84F2E"/>
    <w:rsid w:val="00E859D0"/>
    <w:rsid w:val="00E91F8B"/>
    <w:rsid w:val="00E929AE"/>
    <w:rsid w:val="00E94CB1"/>
    <w:rsid w:val="00EA21F7"/>
    <w:rsid w:val="00EB4750"/>
    <w:rsid w:val="00ED12EF"/>
    <w:rsid w:val="00EF0E2C"/>
    <w:rsid w:val="00F024F9"/>
    <w:rsid w:val="00F03C3F"/>
    <w:rsid w:val="00F140EC"/>
    <w:rsid w:val="00F71BC6"/>
    <w:rsid w:val="00F8122E"/>
    <w:rsid w:val="00F83602"/>
    <w:rsid w:val="00FA29DD"/>
    <w:rsid w:val="00FB4724"/>
    <w:rsid w:val="00FB5A59"/>
    <w:rsid w:val="00FC21A7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0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26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0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26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A3EFD0045B2A4DEDD894469042ADB509B41CAC2ED44A6B552F8888CpBR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abel.tom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13F0CEB0F1FBE852290BC5206B0F1935B2D3F1DB73FD5969477CE23FCB51BE7093359C4FE8F42Dh1t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181D16A05849F3E1067D55F99D2589E5A535EA9F3250AEE4A9CB05B4D8678DB1EBB6208CCCCxA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KostarevAA</dc:creator>
  <cp:keywords/>
  <dc:description/>
  <cp:lastModifiedBy>KostarevAA</cp:lastModifiedBy>
  <cp:revision>11</cp:revision>
  <dcterms:created xsi:type="dcterms:W3CDTF">2017-07-19T02:43:00Z</dcterms:created>
  <dcterms:modified xsi:type="dcterms:W3CDTF">2017-07-26T05:00:00Z</dcterms:modified>
</cp:coreProperties>
</file>